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BA5670A" w14:textId="77777777" w:rsidR="00A24A84" w:rsidRDefault="005F2C51">
      <w:pPr>
        <w:jc w:val="center"/>
        <w:rPr>
          <w:rFonts w:ascii="Century Gothic" w:eastAsia="Century Gothic" w:hAnsi="Century Gothic" w:cs="Century Gothic"/>
          <w:b/>
          <w:sz w:val="48"/>
          <w:szCs w:val="48"/>
        </w:rPr>
      </w:pPr>
      <w:r>
        <w:rPr>
          <w:rFonts w:ascii="Century Gothic" w:eastAsia="Century Gothic" w:hAnsi="Century Gothic" w:cs="Century Gothic"/>
          <w:b/>
          <w:sz w:val="48"/>
          <w:szCs w:val="48"/>
        </w:rPr>
        <w:t>MUNICIPALIDAD DE SAN LUCAS SACATEPÉQUEZ, DEPARTAMENTO DE SACATEPÉQUEZ</w:t>
      </w:r>
      <w:r>
        <w:rPr>
          <w:noProof/>
        </w:rPr>
        <w:drawing>
          <wp:anchor distT="0" distB="0" distL="0" distR="0" simplePos="0" relativeHeight="251658240" behindDoc="1" locked="0" layoutInCell="1" hidden="0" allowOverlap="1" wp14:anchorId="475703AD" wp14:editId="7034E0FB">
            <wp:simplePos x="0" y="0"/>
            <wp:positionH relativeFrom="column">
              <wp:posOffset>0</wp:posOffset>
            </wp:positionH>
            <wp:positionV relativeFrom="paragraph">
              <wp:posOffset>-493082</wp:posOffset>
            </wp:positionV>
            <wp:extent cx="854075" cy="1184910"/>
            <wp:effectExtent l="0" t="0" r="0" b="0"/>
            <wp:wrapNone/>
            <wp:docPr id="1906573781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tbl>
      <w:tblPr>
        <w:tblStyle w:val="a3"/>
        <w:tblW w:w="137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554"/>
        <w:gridCol w:w="7"/>
        <w:gridCol w:w="1375"/>
        <w:gridCol w:w="3714"/>
        <w:gridCol w:w="2268"/>
        <w:gridCol w:w="3827"/>
      </w:tblGrid>
      <w:tr w:rsidR="00A24A84" w14:paraId="16FDFB91" w14:textId="77777777">
        <w:tc>
          <w:tcPr>
            <w:tcW w:w="2561" w:type="dxa"/>
            <w:gridSpan w:val="2"/>
            <w:shd w:val="clear" w:color="auto" w:fill="99CC00"/>
            <w:vAlign w:val="center"/>
          </w:tcPr>
          <w:p w14:paraId="236ECB38" w14:textId="77777777" w:rsidR="00A24A84" w:rsidRDefault="005F2C51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Proceso:</w:t>
            </w:r>
          </w:p>
        </w:tc>
        <w:tc>
          <w:tcPr>
            <w:tcW w:w="5089" w:type="dxa"/>
            <w:gridSpan w:val="2"/>
          </w:tcPr>
          <w:p w14:paraId="6C76DBFD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No llenar</w:t>
            </w:r>
          </w:p>
        </w:tc>
        <w:tc>
          <w:tcPr>
            <w:tcW w:w="2268" w:type="dxa"/>
            <w:shd w:val="clear" w:color="auto" w:fill="99CC00"/>
          </w:tcPr>
          <w:p w14:paraId="26E25F0A" w14:textId="77777777" w:rsidR="00A24A84" w:rsidRDefault="005F2C51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Identificación:</w:t>
            </w:r>
          </w:p>
        </w:tc>
        <w:tc>
          <w:tcPr>
            <w:tcW w:w="3827" w:type="dxa"/>
          </w:tcPr>
          <w:p w14:paraId="5564CC49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b/>
                <w:sz w:val="20"/>
                <w:szCs w:val="20"/>
              </w:rPr>
            </w:pPr>
            <w:r>
              <w:rPr>
                <w:b/>
              </w:rPr>
              <w:t>PR-MSL-DAFIM-DT-UA-NDCCP-08</w:t>
            </w:r>
          </w:p>
        </w:tc>
      </w:tr>
      <w:tr w:rsidR="00A24A84" w14:paraId="438B72C2" w14:textId="77777777">
        <w:tc>
          <w:tcPr>
            <w:tcW w:w="2561" w:type="dxa"/>
            <w:gridSpan w:val="2"/>
            <w:shd w:val="clear" w:color="auto" w:fill="99CC00"/>
            <w:vAlign w:val="center"/>
          </w:tcPr>
          <w:p w14:paraId="28A8A47F" w14:textId="77777777" w:rsidR="00A24A84" w:rsidRDefault="005F2C51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Procedimiento:</w:t>
            </w:r>
          </w:p>
        </w:tc>
        <w:tc>
          <w:tcPr>
            <w:tcW w:w="5089" w:type="dxa"/>
            <w:gridSpan w:val="2"/>
          </w:tcPr>
          <w:p w14:paraId="68BB662A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Notas de Débito, Crédito</w:t>
            </w:r>
          </w:p>
          <w:p w14:paraId="784B44C7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 xml:space="preserve"> y Convenios de Pago</w:t>
            </w:r>
            <w:r>
              <w:rPr>
                <w:rFonts w:ascii="Georgia" w:eastAsia="Georgia" w:hAnsi="Georgia" w:cs="Georgia"/>
                <w:b/>
                <w:color w:val="000000"/>
                <w:sz w:val="28"/>
                <w:szCs w:val="28"/>
              </w:rPr>
              <w:t xml:space="preserve"> </w:t>
            </w:r>
          </w:p>
        </w:tc>
        <w:tc>
          <w:tcPr>
            <w:tcW w:w="2268" w:type="dxa"/>
            <w:shd w:val="clear" w:color="auto" w:fill="99CC00"/>
          </w:tcPr>
          <w:p w14:paraId="7A9A793B" w14:textId="77777777" w:rsidR="00A24A84" w:rsidRDefault="005F2C51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Versión:</w:t>
            </w:r>
          </w:p>
        </w:tc>
        <w:tc>
          <w:tcPr>
            <w:tcW w:w="3827" w:type="dxa"/>
          </w:tcPr>
          <w:p w14:paraId="1329BEDA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1</w:t>
            </w:r>
          </w:p>
        </w:tc>
      </w:tr>
      <w:tr w:rsidR="00A24A84" w14:paraId="4440DC7E" w14:textId="77777777">
        <w:tc>
          <w:tcPr>
            <w:tcW w:w="3936" w:type="dxa"/>
            <w:gridSpan w:val="3"/>
            <w:shd w:val="clear" w:color="auto" w:fill="99CC00"/>
            <w:vAlign w:val="center"/>
          </w:tcPr>
          <w:p w14:paraId="57BE53D8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Dirección</w:t>
            </w:r>
          </w:p>
        </w:tc>
        <w:tc>
          <w:tcPr>
            <w:tcW w:w="3714" w:type="dxa"/>
            <w:shd w:val="clear" w:color="auto" w:fill="99CC00"/>
          </w:tcPr>
          <w:p w14:paraId="3BA3575E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Departamento</w:t>
            </w:r>
          </w:p>
        </w:tc>
        <w:tc>
          <w:tcPr>
            <w:tcW w:w="6095" w:type="dxa"/>
            <w:gridSpan w:val="2"/>
            <w:shd w:val="clear" w:color="auto" w:fill="99CC00"/>
          </w:tcPr>
          <w:p w14:paraId="045B7915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Unidad</w:t>
            </w:r>
          </w:p>
        </w:tc>
      </w:tr>
      <w:tr w:rsidR="00A24A84" w14:paraId="65343689" w14:textId="77777777">
        <w:trPr>
          <w:trHeight w:val="667"/>
        </w:trPr>
        <w:tc>
          <w:tcPr>
            <w:tcW w:w="3936" w:type="dxa"/>
            <w:gridSpan w:val="3"/>
            <w:vAlign w:val="center"/>
          </w:tcPr>
          <w:p w14:paraId="07579AA7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Administración Financiera Integrada Municipal</w:t>
            </w:r>
          </w:p>
        </w:tc>
        <w:tc>
          <w:tcPr>
            <w:tcW w:w="3714" w:type="dxa"/>
          </w:tcPr>
          <w:p w14:paraId="46D4BA15" w14:textId="77777777" w:rsidR="00A24A84" w:rsidRDefault="00A24A84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69F3810E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Tesorería</w:t>
            </w:r>
          </w:p>
        </w:tc>
        <w:tc>
          <w:tcPr>
            <w:tcW w:w="6095" w:type="dxa"/>
            <w:gridSpan w:val="2"/>
          </w:tcPr>
          <w:p w14:paraId="3DAAF697" w14:textId="77777777" w:rsidR="00A24A84" w:rsidRDefault="00A24A84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62C2C609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Arbitrios</w:t>
            </w:r>
          </w:p>
        </w:tc>
      </w:tr>
      <w:tr w:rsidR="00A24A84" w14:paraId="5635EB2B" w14:textId="77777777">
        <w:trPr>
          <w:trHeight w:val="684"/>
        </w:trPr>
        <w:tc>
          <w:tcPr>
            <w:tcW w:w="2554" w:type="dxa"/>
            <w:shd w:val="clear" w:color="auto" w:fill="99CC00"/>
            <w:vAlign w:val="center"/>
          </w:tcPr>
          <w:p w14:paraId="1F1D1BDC" w14:textId="77777777" w:rsidR="00A24A84" w:rsidRDefault="00A24A84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096" w:type="dxa"/>
            <w:gridSpan w:val="3"/>
            <w:shd w:val="clear" w:color="auto" w:fill="99CC00"/>
            <w:vAlign w:val="center"/>
          </w:tcPr>
          <w:p w14:paraId="3AC28497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Nombre Completo</w:t>
            </w:r>
          </w:p>
        </w:tc>
        <w:tc>
          <w:tcPr>
            <w:tcW w:w="2268" w:type="dxa"/>
            <w:shd w:val="clear" w:color="auto" w:fill="99CC00"/>
            <w:vAlign w:val="center"/>
          </w:tcPr>
          <w:p w14:paraId="53655B23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Firma</w:t>
            </w:r>
          </w:p>
        </w:tc>
        <w:tc>
          <w:tcPr>
            <w:tcW w:w="3827" w:type="dxa"/>
            <w:shd w:val="clear" w:color="auto" w:fill="99CC00"/>
            <w:vAlign w:val="center"/>
          </w:tcPr>
          <w:p w14:paraId="72663616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Elaboración</w:t>
            </w:r>
          </w:p>
        </w:tc>
      </w:tr>
      <w:tr w:rsidR="00A24A84" w14:paraId="2EFCB6DC" w14:textId="77777777">
        <w:trPr>
          <w:trHeight w:val="587"/>
        </w:trPr>
        <w:tc>
          <w:tcPr>
            <w:tcW w:w="2554" w:type="dxa"/>
            <w:shd w:val="clear" w:color="auto" w:fill="99CC00"/>
            <w:vAlign w:val="center"/>
          </w:tcPr>
          <w:p w14:paraId="6D8BB027" w14:textId="77777777" w:rsidR="00A24A84" w:rsidRDefault="005F2C51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Elaborado por: </w:t>
            </w:r>
          </w:p>
        </w:tc>
        <w:tc>
          <w:tcPr>
            <w:tcW w:w="5096" w:type="dxa"/>
            <w:gridSpan w:val="3"/>
            <w:vAlign w:val="center"/>
          </w:tcPr>
          <w:p w14:paraId="22F1B8B6" w14:textId="77777777" w:rsidR="00A24A84" w:rsidRDefault="005F2C51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 xml:space="preserve">Betzayda Rossio Palao Martínez </w:t>
            </w:r>
          </w:p>
        </w:tc>
        <w:tc>
          <w:tcPr>
            <w:tcW w:w="2268" w:type="dxa"/>
            <w:vMerge w:val="restart"/>
          </w:tcPr>
          <w:p w14:paraId="2E47F15D" w14:textId="77777777" w:rsidR="00A24A84" w:rsidRDefault="00A24A84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827" w:type="dxa"/>
            <w:vMerge w:val="restart"/>
            <w:vAlign w:val="center"/>
          </w:tcPr>
          <w:p w14:paraId="19034F0F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20 de mayo de 2025</w:t>
            </w:r>
          </w:p>
        </w:tc>
      </w:tr>
      <w:tr w:rsidR="00A24A84" w14:paraId="4578AE45" w14:textId="77777777">
        <w:trPr>
          <w:trHeight w:val="319"/>
        </w:trPr>
        <w:tc>
          <w:tcPr>
            <w:tcW w:w="2554" w:type="dxa"/>
            <w:shd w:val="clear" w:color="auto" w:fill="99CC00"/>
            <w:vAlign w:val="center"/>
          </w:tcPr>
          <w:p w14:paraId="2FFFE98B" w14:textId="77777777" w:rsidR="00A24A84" w:rsidRDefault="005F2C51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096" w:type="dxa"/>
            <w:gridSpan w:val="3"/>
          </w:tcPr>
          <w:p w14:paraId="07AF4840" w14:textId="77777777" w:rsidR="00A24A84" w:rsidRDefault="005F2C51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Coordinadora de Arbitrios y Expedientes de Egresos</w:t>
            </w:r>
          </w:p>
        </w:tc>
        <w:tc>
          <w:tcPr>
            <w:tcW w:w="2268" w:type="dxa"/>
            <w:vMerge/>
          </w:tcPr>
          <w:p w14:paraId="6A736F0D" w14:textId="77777777" w:rsidR="00A24A84" w:rsidRDefault="00A24A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827" w:type="dxa"/>
            <w:vMerge/>
            <w:vAlign w:val="center"/>
          </w:tcPr>
          <w:p w14:paraId="69784194" w14:textId="77777777" w:rsidR="00A24A84" w:rsidRDefault="00A24A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A24A84" w14:paraId="7ECFE36E" w14:textId="77777777">
        <w:trPr>
          <w:trHeight w:val="361"/>
        </w:trPr>
        <w:tc>
          <w:tcPr>
            <w:tcW w:w="2554" w:type="dxa"/>
            <w:shd w:val="clear" w:color="auto" w:fill="99CC00"/>
            <w:vAlign w:val="center"/>
          </w:tcPr>
          <w:p w14:paraId="41C26F4C" w14:textId="77777777" w:rsidR="00A24A84" w:rsidRDefault="00A24A84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096" w:type="dxa"/>
            <w:gridSpan w:val="3"/>
            <w:shd w:val="clear" w:color="auto" w:fill="99CC00"/>
          </w:tcPr>
          <w:p w14:paraId="5B349578" w14:textId="77777777" w:rsidR="00A24A84" w:rsidRDefault="00A24A84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268" w:type="dxa"/>
            <w:shd w:val="clear" w:color="auto" w:fill="99CC00"/>
          </w:tcPr>
          <w:p w14:paraId="0B56F4CA" w14:textId="77777777" w:rsidR="00A24A84" w:rsidRDefault="00A24A84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827" w:type="dxa"/>
            <w:shd w:val="clear" w:color="auto" w:fill="99CC00"/>
          </w:tcPr>
          <w:p w14:paraId="21F994D8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Revisado</w:t>
            </w:r>
          </w:p>
        </w:tc>
      </w:tr>
      <w:tr w:rsidR="00A24A84" w14:paraId="2FDE699C" w14:textId="77777777">
        <w:trPr>
          <w:trHeight w:val="574"/>
        </w:trPr>
        <w:tc>
          <w:tcPr>
            <w:tcW w:w="2554" w:type="dxa"/>
            <w:shd w:val="clear" w:color="auto" w:fill="99CC00"/>
            <w:vAlign w:val="center"/>
          </w:tcPr>
          <w:p w14:paraId="0854DF50" w14:textId="77777777" w:rsidR="00A24A84" w:rsidRDefault="005F2C51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Revisado por:</w:t>
            </w:r>
          </w:p>
        </w:tc>
        <w:tc>
          <w:tcPr>
            <w:tcW w:w="5096" w:type="dxa"/>
            <w:gridSpan w:val="3"/>
            <w:vAlign w:val="center"/>
          </w:tcPr>
          <w:p w14:paraId="3B07A65A" w14:textId="77777777" w:rsidR="00A24A84" w:rsidRDefault="005F2C51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 xml:space="preserve">Kelly Edenylson Rosales Saravia </w:t>
            </w:r>
          </w:p>
        </w:tc>
        <w:tc>
          <w:tcPr>
            <w:tcW w:w="2268" w:type="dxa"/>
            <w:vMerge w:val="restart"/>
          </w:tcPr>
          <w:p w14:paraId="2F859D91" w14:textId="77777777" w:rsidR="00A24A84" w:rsidRDefault="00A24A84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827" w:type="dxa"/>
            <w:vMerge w:val="restart"/>
            <w:vAlign w:val="center"/>
          </w:tcPr>
          <w:p w14:paraId="33FA9978" w14:textId="77777777" w:rsidR="00A24A84" w:rsidRDefault="00A24A84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A24A84" w14:paraId="71ED9A17" w14:textId="77777777">
        <w:trPr>
          <w:trHeight w:val="389"/>
        </w:trPr>
        <w:tc>
          <w:tcPr>
            <w:tcW w:w="2554" w:type="dxa"/>
            <w:shd w:val="clear" w:color="auto" w:fill="99CC00"/>
            <w:vAlign w:val="center"/>
          </w:tcPr>
          <w:p w14:paraId="0286576C" w14:textId="77777777" w:rsidR="00A24A84" w:rsidRDefault="005F2C51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096" w:type="dxa"/>
            <w:gridSpan w:val="3"/>
          </w:tcPr>
          <w:p w14:paraId="76D4843A" w14:textId="77777777" w:rsidR="00A24A84" w:rsidRDefault="005F2C51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Director Financiero</w:t>
            </w:r>
          </w:p>
        </w:tc>
        <w:tc>
          <w:tcPr>
            <w:tcW w:w="2268" w:type="dxa"/>
            <w:vMerge/>
          </w:tcPr>
          <w:p w14:paraId="51E1958A" w14:textId="77777777" w:rsidR="00A24A84" w:rsidRDefault="00A24A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827" w:type="dxa"/>
            <w:vMerge/>
            <w:vAlign w:val="center"/>
          </w:tcPr>
          <w:p w14:paraId="5632B243" w14:textId="77777777" w:rsidR="00A24A84" w:rsidRDefault="00A24A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A24A84" w14:paraId="16C63BEC" w14:textId="77777777">
        <w:trPr>
          <w:trHeight w:val="355"/>
        </w:trPr>
        <w:tc>
          <w:tcPr>
            <w:tcW w:w="2554" w:type="dxa"/>
            <w:shd w:val="clear" w:color="auto" w:fill="99CC00"/>
            <w:vAlign w:val="center"/>
          </w:tcPr>
          <w:p w14:paraId="433D57D2" w14:textId="77777777" w:rsidR="00A24A84" w:rsidRDefault="00A24A84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096" w:type="dxa"/>
            <w:gridSpan w:val="3"/>
            <w:shd w:val="clear" w:color="auto" w:fill="99CC00"/>
          </w:tcPr>
          <w:p w14:paraId="235EE9AF" w14:textId="77777777" w:rsidR="00A24A84" w:rsidRDefault="00A24A84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268" w:type="dxa"/>
            <w:shd w:val="clear" w:color="auto" w:fill="99CC00"/>
          </w:tcPr>
          <w:p w14:paraId="0B37A29D" w14:textId="77777777" w:rsidR="00A24A84" w:rsidRDefault="00A24A84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827" w:type="dxa"/>
            <w:shd w:val="clear" w:color="auto" w:fill="99CC00"/>
          </w:tcPr>
          <w:p w14:paraId="706611D0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Aprobación</w:t>
            </w:r>
          </w:p>
        </w:tc>
      </w:tr>
      <w:tr w:rsidR="00A24A84" w14:paraId="60DB2237" w14:textId="77777777">
        <w:trPr>
          <w:trHeight w:val="587"/>
        </w:trPr>
        <w:tc>
          <w:tcPr>
            <w:tcW w:w="2554" w:type="dxa"/>
            <w:shd w:val="clear" w:color="auto" w:fill="99CC00"/>
            <w:vAlign w:val="center"/>
          </w:tcPr>
          <w:p w14:paraId="4DF57AD1" w14:textId="77777777" w:rsidR="00A24A84" w:rsidRDefault="005F2C51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Aprobado por:</w:t>
            </w:r>
          </w:p>
        </w:tc>
        <w:tc>
          <w:tcPr>
            <w:tcW w:w="5096" w:type="dxa"/>
            <w:gridSpan w:val="3"/>
          </w:tcPr>
          <w:p w14:paraId="5D757299" w14:textId="77777777" w:rsidR="00A24A84" w:rsidRDefault="005F2C51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Lic. Yener Haroldo Plaza Natareno</w:t>
            </w:r>
          </w:p>
        </w:tc>
        <w:tc>
          <w:tcPr>
            <w:tcW w:w="2268" w:type="dxa"/>
            <w:vMerge w:val="restart"/>
          </w:tcPr>
          <w:p w14:paraId="7DBA4D24" w14:textId="77777777" w:rsidR="00A24A84" w:rsidRDefault="00A24A84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827" w:type="dxa"/>
            <w:vMerge w:val="restart"/>
            <w:vAlign w:val="center"/>
          </w:tcPr>
          <w:p w14:paraId="6F2E5E0E" w14:textId="77777777" w:rsidR="00A24A84" w:rsidRDefault="00A24A84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A24A84" w14:paraId="24BF542F" w14:textId="77777777">
        <w:trPr>
          <w:trHeight w:val="587"/>
        </w:trPr>
        <w:tc>
          <w:tcPr>
            <w:tcW w:w="2554" w:type="dxa"/>
            <w:shd w:val="clear" w:color="auto" w:fill="99CC00"/>
            <w:vAlign w:val="center"/>
          </w:tcPr>
          <w:p w14:paraId="51BC7DCF" w14:textId="77777777" w:rsidR="00A24A84" w:rsidRDefault="005F2C51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096" w:type="dxa"/>
            <w:gridSpan w:val="3"/>
          </w:tcPr>
          <w:p w14:paraId="47334245" w14:textId="77777777" w:rsidR="00A24A84" w:rsidRDefault="005F2C51">
            <w:pPr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Alcalde Municipal</w:t>
            </w:r>
          </w:p>
        </w:tc>
        <w:tc>
          <w:tcPr>
            <w:tcW w:w="2268" w:type="dxa"/>
            <w:vMerge/>
          </w:tcPr>
          <w:p w14:paraId="14822344" w14:textId="77777777" w:rsidR="00A24A84" w:rsidRDefault="00A24A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  <w:tc>
          <w:tcPr>
            <w:tcW w:w="3827" w:type="dxa"/>
            <w:vMerge/>
            <w:vAlign w:val="center"/>
          </w:tcPr>
          <w:p w14:paraId="5F8FA525" w14:textId="77777777" w:rsidR="00A24A84" w:rsidRDefault="00A24A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</w:tr>
    </w:tbl>
    <w:p w14:paraId="5B0D5D73" w14:textId="77777777" w:rsidR="00A24A84" w:rsidRDefault="00A24A84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53D305F0" w14:textId="77777777" w:rsidR="005F2C51" w:rsidRDefault="005F2C51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2AC6DE78" w14:textId="77777777" w:rsidR="00A24A84" w:rsidRDefault="005F2C51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Objetivo</w:t>
      </w:r>
    </w:p>
    <w:p w14:paraId="2A516555" w14:textId="77777777" w:rsidR="00A24A84" w:rsidRDefault="005F2C51">
      <w:pPr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>Establecer los lineamientos para la emisión de notas de débito, notas de crédito y la formalización de convenios de pago, con el propósito de corregir, ajustar o regularizar saldos en las cuentas de los contribuyentes o usuarios de los servicios municipales, garantizando la transparencia, legalidad y eficiencia en la gestión financiera y administrativa.</w:t>
      </w:r>
    </w:p>
    <w:p w14:paraId="0FA92927" w14:textId="77777777" w:rsidR="00A24A84" w:rsidRDefault="005F2C51">
      <w:pPr>
        <w:spacing w:before="280" w:after="280"/>
        <w:jc w:val="both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>En resumen, su objetivo principal es garantizar el financiamiento de ingresos propios de los servicios municipales mediante una recaudación eficiente y justa.</w:t>
      </w:r>
    </w:p>
    <w:p w14:paraId="679C6447" w14:textId="77777777" w:rsidR="00A24A84" w:rsidRDefault="005F2C51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Marco Legal</w:t>
      </w:r>
    </w:p>
    <w:p w14:paraId="75BFF0F3" w14:textId="77777777" w:rsidR="00A24A84" w:rsidRDefault="005F2C51">
      <w:pPr>
        <w:rPr>
          <w:rFonts w:ascii="Century Gothic" w:eastAsia="Century Gothic" w:hAnsi="Century Gothic" w:cs="Century Gothic"/>
          <w:b/>
          <w:sz w:val="24"/>
          <w:szCs w:val="24"/>
        </w:rPr>
      </w:pPr>
      <w:r>
        <w:rPr>
          <w:rFonts w:ascii="Century Gothic" w:eastAsia="Century Gothic" w:hAnsi="Century Gothic" w:cs="Century Gothic"/>
          <w:b/>
          <w:sz w:val="24"/>
          <w:szCs w:val="24"/>
        </w:rPr>
        <w:t>Constitución Política de la República de Guatemala</w:t>
      </w:r>
    </w:p>
    <w:p w14:paraId="5F8B8F77" w14:textId="77777777" w:rsidR="00A24A84" w:rsidRDefault="005F2C51">
      <w:pPr>
        <w:numPr>
          <w:ilvl w:val="0"/>
          <w:numId w:val="2"/>
        </w:numPr>
        <w:spacing w:before="240" w:after="0"/>
        <w:jc w:val="both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b/>
          <w:sz w:val="24"/>
          <w:szCs w:val="24"/>
        </w:rPr>
        <w:t>Artículo 239 – Principio de legalidad tributaria:</w:t>
      </w:r>
      <w:r>
        <w:rPr>
          <w:rFonts w:ascii="Century Gothic" w:eastAsia="Century Gothic" w:hAnsi="Century Gothic" w:cs="Century Gothic"/>
          <w:sz w:val="24"/>
          <w:szCs w:val="24"/>
        </w:rPr>
        <w:t xml:space="preserve"> Establece que sólo mediante ley se pueden imponer, modificar o condonar tributos, lo cual implica que cualquier ajuste a obligaciones debe estar debidamente fundamentado.</w:t>
      </w:r>
    </w:p>
    <w:p w14:paraId="080BA55F" w14:textId="77777777" w:rsidR="00A24A84" w:rsidRDefault="005F2C51">
      <w:pPr>
        <w:numPr>
          <w:ilvl w:val="0"/>
          <w:numId w:val="2"/>
        </w:numPr>
        <w:spacing w:after="240"/>
        <w:jc w:val="both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b/>
          <w:sz w:val="24"/>
          <w:szCs w:val="24"/>
        </w:rPr>
        <w:t>Artículo 255 – Autonomía municipal:</w:t>
      </w:r>
      <w:r>
        <w:rPr>
          <w:rFonts w:ascii="Century Gothic" w:eastAsia="Century Gothic" w:hAnsi="Century Gothic" w:cs="Century Gothic"/>
          <w:sz w:val="24"/>
          <w:szCs w:val="24"/>
        </w:rPr>
        <w:t xml:space="preserve"> Reconoce la capacidad de las municipalidades para administrar sus recursos, incluyendo la potestad para cobrar tasas y aprobar convenios administrativos relacionados con el cobro.</w:t>
      </w:r>
    </w:p>
    <w:p w14:paraId="41D3D885" w14:textId="77777777" w:rsidR="00A24A84" w:rsidRDefault="005F2C51">
      <w:pPr>
        <w:rPr>
          <w:rFonts w:ascii="Century Gothic" w:eastAsia="Century Gothic" w:hAnsi="Century Gothic" w:cs="Century Gothic"/>
          <w:b/>
          <w:sz w:val="24"/>
          <w:szCs w:val="24"/>
        </w:rPr>
      </w:pPr>
      <w:r>
        <w:rPr>
          <w:rFonts w:ascii="Century Gothic" w:eastAsia="Century Gothic" w:hAnsi="Century Gothic" w:cs="Century Gothic"/>
          <w:b/>
          <w:sz w:val="24"/>
          <w:szCs w:val="24"/>
        </w:rPr>
        <w:t>Código Municipal – Decreto 12-2002 del Congreso de la República</w:t>
      </w:r>
    </w:p>
    <w:p w14:paraId="77264A31" w14:textId="77777777" w:rsidR="00A24A84" w:rsidRDefault="005F2C51">
      <w:pPr>
        <w:numPr>
          <w:ilvl w:val="0"/>
          <w:numId w:val="3"/>
        </w:numPr>
        <w:spacing w:before="240" w:after="240"/>
        <w:jc w:val="both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b/>
          <w:sz w:val="24"/>
          <w:szCs w:val="24"/>
        </w:rPr>
        <w:t>Artículo 35, literales i) y m):</w:t>
      </w:r>
      <w:r>
        <w:rPr>
          <w:rFonts w:ascii="Century Gothic" w:eastAsia="Century Gothic" w:hAnsi="Century Gothic" w:cs="Century Gothic"/>
          <w:sz w:val="24"/>
          <w:szCs w:val="24"/>
        </w:rPr>
        <w:t xml:space="preserve"> Faculta al Concejo Municipal para emitir reglamentos, aprobar políticas administrativas y autorizar condonaciones, convenios o ajustes en pagos de tasas, arbitrios y otros ingresos municipales.</w:t>
      </w:r>
    </w:p>
    <w:p w14:paraId="12F93EE0" w14:textId="77777777" w:rsidR="00A24A84" w:rsidRDefault="005F2C51">
      <w:pPr>
        <w:numPr>
          <w:ilvl w:val="0"/>
          <w:numId w:val="3"/>
        </w:numPr>
        <w:spacing w:before="240" w:after="240"/>
        <w:jc w:val="both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b/>
          <w:sz w:val="24"/>
          <w:szCs w:val="24"/>
        </w:rPr>
        <w:lastRenderedPageBreak/>
        <w:t>Artículo 100:</w:t>
      </w:r>
      <w:r>
        <w:rPr>
          <w:rFonts w:ascii="Century Gothic" w:eastAsia="Century Gothic" w:hAnsi="Century Gothic" w:cs="Century Gothic"/>
          <w:sz w:val="24"/>
          <w:szCs w:val="24"/>
        </w:rPr>
        <w:t xml:space="preserve"> Permite a las municipalidades llevar registros administrativos y financieros, incluyendo la aplicación de ajustes contables mediante notas de crédito o débito.</w:t>
      </w:r>
    </w:p>
    <w:p w14:paraId="7EEDE1A0" w14:textId="77777777" w:rsidR="00A24A84" w:rsidRDefault="005F2C51">
      <w:pPr>
        <w:rPr>
          <w:rFonts w:ascii="Century Gothic" w:eastAsia="Century Gothic" w:hAnsi="Century Gothic" w:cs="Century Gothic"/>
          <w:b/>
          <w:sz w:val="24"/>
          <w:szCs w:val="24"/>
        </w:rPr>
      </w:pPr>
      <w:r>
        <w:rPr>
          <w:rFonts w:ascii="Century Gothic" w:eastAsia="Century Gothic" w:hAnsi="Century Gothic" w:cs="Century Gothic"/>
          <w:b/>
          <w:sz w:val="24"/>
          <w:szCs w:val="24"/>
        </w:rPr>
        <w:t>Normas contables y administrativas municipales</w:t>
      </w:r>
    </w:p>
    <w:p w14:paraId="06F5B78E" w14:textId="77777777" w:rsidR="00A24A84" w:rsidRDefault="005F2C51">
      <w:pPr>
        <w:numPr>
          <w:ilvl w:val="0"/>
          <w:numId w:val="1"/>
        </w:numPr>
        <w:spacing w:before="240" w:after="240"/>
        <w:jc w:val="both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 xml:space="preserve">Las municipalidades, a través de sus </w:t>
      </w:r>
      <w:r>
        <w:rPr>
          <w:rFonts w:ascii="Century Gothic" w:eastAsia="Century Gothic" w:hAnsi="Century Gothic" w:cs="Century Gothic"/>
          <w:b/>
          <w:sz w:val="24"/>
          <w:szCs w:val="24"/>
        </w:rPr>
        <w:t>reglamentos internos y manuales de procedimientos financieros</w:t>
      </w:r>
      <w:r>
        <w:rPr>
          <w:rFonts w:ascii="Century Gothic" w:eastAsia="Century Gothic" w:hAnsi="Century Gothic" w:cs="Century Gothic"/>
          <w:sz w:val="24"/>
          <w:szCs w:val="24"/>
        </w:rPr>
        <w:t>, pueden establecer formalmente la utilización de notas de crédito/débito y convenios de pago como herramientas para corregir errores, otorgar facilidades de pago o ajustar montos conforme a derecho.</w:t>
      </w:r>
    </w:p>
    <w:p w14:paraId="1B8F82F4" w14:textId="77777777" w:rsidR="00A24A84" w:rsidRDefault="00A24A84">
      <w:pPr>
        <w:rPr>
          <w:rFonts w:ascii="Georgia" w:eastAsia="Georgia" w:hAnsi="Georgia" w:cs="Georgia"/>
          <w:sz w:val="24"/>
          <w:szCs w:val="24"/>
        </w:rPr>
      </w:pPr>
    </w:p>
    <w:p w14:paraId="6B9F7F3D" w14:textId="77777777" w:rsidR="00A24A84" w:rsidRDefault="005F2C51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Normas de Aplicación Interna</w:t>
      </w:r>
    </w:p>
    <w:p w14:paraId="60E134A1" w14:textId="77777777" w:rsidR="00A24A84" w:rsidRDefault="00A24A84">
      <w:pPr>
        <w:rPr>
          <w:rFonts w:ascii="Georgia" w:eastAsia="Georgia" w:hAnsi="Georgia" w:cs="Georgia"/>
          <w:sz w:val="24"/>
          <w:szCs w:val="24"/>
        </w:rPr>
      </w:pPr>
    </w:p>
    <w:p w14:paraId="3AACECDD" w14:textId="77777777" w:rsidR="00A24A84" w:rsidRDefault="005F2C51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Usuarios</w:t>
      </w:r>
    </w:p>
    <w:p w14:paraId="1707B51A" w14:textId="77777777" w:rsidR="00A24A84" w:rsidRDefault="005F2C5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b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Dirección Municipal de Administración Financiera Integrada Municipal </w:t>
      </w:r>
    </w:p>
    <w:p w14:paraId="1DBB5F9E" w14:textId="77777777" w:rsidR="00A24A84" w:rsidRDefault="00A24A84">
      <w:pPr>
        <w:rPr>
          <w:rFonts w:ascii="Georgia" w:eastAsia="Georgia" w:hAnsi="Georgia" w:cs="Georgia"/>
          <w:sz w:val="24"/>
          <w:szCs w:val="24"/>
        </w:rPr>
      </w:pPr>
    </w:p>
    <w:p w14:paraId="384FFA94" w14:textId="77777777" w:rsidR="00A24A84" w:rsidRDefault="00A24A84">
      <w:pPr>
        <w:rPr>
          <w:rFonts w:ascii="Georgia" w:eastAsia="Georgia" w:hAnsi="Georgia" w:cs="Georgia"/>
          <w:sz w:val="24"/>
          <w:szCs w:val="24"/>
        </w:rPr>
      </w:pPr>
    </w:p>
    <w:p w14:paraId="6F4CD2DC" w14:textId="77777777" w:rsidR="00A24A84" w:rsidRDefault="00A24A84">
      <w:pPr>
        <w:rPr>
          <w:rFonts w:ascii="Georgia" w:eastAsia="Georgia" w:hAnsi="Georgia" w:cs="Georgia"/>
          <w:sz w:val="24"/>
          <w:szCs w:val="24"/>
        </w:rPr>
      </w:pPr>
    </w:p>
    <w:p w14:paraId="71422C9E" w14:textId="77777777" w:rsidR="00A24A84" w:rsidRDefault="00A24A84">
      <w:pPr>
        <w:rPr>
          <w:rFonts w:ascii="Georgia" w:eastAsia="Georgia" w:hAnsi="Georgia" w:cs="Georgia"/>
          <w:sz w:val="24"/>
          <w:szCs w:val="24"/>
        </w:rPr>
      </w:pPr>
    </w:p>
    <w:p w14:paraId="12B69C6B" w14:textId="77777777" w:rsidR="00A24A84" w:rsidRDefault="00A24A84">
      <w:pPr>
        <w:rPr>
          <w:rFonts w:ascii="Georgia" w:eastAsia="Georgia" w:hAnsi="Georgia" w:cs="Georgia"/>
          <w:sz w:val="24"/>
          <w:szCs w:val="24"/>
        </w:rPr>
      </w:pPr>
    </w:p>
    <w:p w14:paraId="029B6175" w14:textId="77777777" w:rsidR="00A24A84" w:rsidRDefault="005F2C51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Narrativa Notas de Débito</w:t>
      </w:r>
    </w:p>
    <w:tbl>
      <w:tblPr>
        <w:tblStyle w:val="a4"/>
        <w:tblW w:w="133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49"/>
        <w:gridCol w:w="10403"/>
        <w:gridCol w:w="2268"/>
      </w:tblGrid>
      <w:tr w:rsidR="00A24A84" w14:paraId="797560B4" w14:textId="77777777">
        <w:tc>
          <w:tcPr>
            <w:tcW w:w="649" w:type="dxa"/>
            <w:shd w:val="clear" w:color="auto" w:fill="92D050"/>
          </w:tcPr>
          <w:p w14:paraId="1DF67BE7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No.</w:t>
            </w:r>
          </w:p>
        </w:tc>
        <w:tc>
          <w:tcPr>
            <w:tcW w:w="10403" w:type="dxa"/>
            <w:shd w:val="clear" w:color="auto" w:fill="92D050"/>
          </w:tcPr>
          <w:p w14:paraId="13FC21D1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Actividad</w:t>
            </w:r>
          </w:p>
        </w:tc>
        <w:tc>
          <w:tcPr>
            <w:tcW w:w="2268" w:type="dxa"/>
            <w:shd w:val="clear" w:color="auto" w:fill="92D050"/>
          </w:tcPr>
          <w:p w14:paraId="4AAA11B0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Responsable</w:t>
            </w:r>
          </w:p>
        </w:tc>
      </w:tr>
      <w:tr w:rsidR="00A24A84" w14:paraId="7CC3AA62" w14:textId="77777777">
        <w:trPr>
          <w:trHeight w:val="642"/>
        </w:trPr>
        <w:tc>
          <w:tcPr>
            <w:tcW w:w="649" w:type="dxa"/>
            <w:vAlign w:val="center"/>
          </w:tcPr>
          <w:p w14:paraId="270BDC71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1</w:t>
            </w:r>
          </w:p>
        </w:tc>
        <w:tc>
          <w:tcPr>
            <w:tcW w:w="10403" w:type="dxa"/>
          </w:tcPr>
          <w:p w14:paraId="0D14A90E" w14:textId="77777777" w:rsidR="00A24A84" w:rsidRDefault="005F2C51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 xml:space="preserve">Solicitar información del monto total de la deuda, se verifica en los registros y se le entrega los requisitos para el trámite respectivo.                                                                               </w:t>
            </w:r>
          </w:p>
        </w:tc>
        <w:tc>
          <w:tcPr>
            <w:tcW w:w="2268" w:type="dxa"/>
            <w:vMerge w:val="restart"/>
          </w:tcPr>
          <w:p w14:paraId="6CA634EE" w14:textId="77777777" w:rsidR="00A24A84" w:rsidRDefault="00A24A84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  <w:p w14:paraId="3F498D2A" w14:textId="77777777" w:rsidR="00A24A84" w:rsidRDefault="00A24A84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  <w:p w14:paraId="03B96418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 xml:space="preserve"> </w:t>
            </w:r>
          </w:p>
          <w:p w14:paraId="7A41AC68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Arbitrios</w:t>
            </w:r>
          </w:p>
          <w:p w14:paraId="447FFAC1" w14:textId="77777777" w:rsidR="00A24A84" w:rsidRDefault="00A24A84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</w:tc>
      </w:tr>
      <w:tr w:rsidR="00A24A84" w14:paraId="65385D8B" w14:textId="77777777">
        <w:trPr>
          <w:trHeight w:val="630"/>
        </w:trPr>
        <w:tc>
          <w:tcPr>
            <w:tcW w:w="649" w:type="dxa"/>
            <w:vAlign w:val="center"/>
          </w:tcPr>
          <w:p w14:paraId="796C5D7F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2</w:t>
            </w:r>
          </w:p>
        </w:tc>
        <w:tc>
          <w:tcPr>
            <w:tcW w:w="10403" w:type="dxa"/>
          </w:tcPr>
          <w:p w14:paraId="4D4BC08E" w14:textId="77777777" w:rsidR="00A24A84" w:rsidRDefault="005F2C51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Elaborar informe con el monto total de la deuda</w:t>
            </w:r>
          </w:p>
        </w:tc>
        <w:tc>
          <w:tcPr>
            <w:tcW w:w="2268" w:type="dxa"/>
            <w:vMerge/>
          </w:tcPr>
          <w:p w14:paraId="6E26E552" w14:textId="77777777" w:rsidR="00A24A84" w:rsidRDefault="00A24A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</w:tc>
      </w:tr>
      <w:tr w:rsidR="00A24A84" w14:paraId="055AEA89" w14:textId="77777777">
        <w:trPr>
          <w:trHeight w:val="642"/>
        </w:trPr>
        <w:tc>
          <w:tcPr>
            <w:tcW w:w="649" w:type="dxa"/>
            <w:vAlign w:val="center"/>
          </w:tcPr>
          <w:p w14:paraId="3E6986EC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3</w:t>
            </w:r>
          </w:p>
        </w:tc>
        <w:tc>
          <w:tcPr>
            <w:tcW w:w="10403" w:type="dxa"/>
          </w:tcPr>
          <w:p w14:paraId="7169D503" w14:textId="77777777" w:rsidR="00A24A84" w:rsidRDefault="005F2C51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 xml:space="preserve">Trasladar informe a Alcaldía para que resuelva por medio de una Resolución.                                                                  </w:t>
            </w:r>
          </w:p>
        </w:tc>
        <w:tc>
          <w:tcPr>
            <w:tcW w:w="2268" w:type="dxa"/>
            <w:vMerge/>
          </w:tcPr>
          <w:p w14:paraId="041DC6A9" w14:textId="77777777" w:rsidR="00A24A84" w:rsidRDefault="00A24A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</w:tc>
      </w:tr>
      <w:tr w:rsidR="00A24A84" w14:paraId="25D65A5E" w14:textId="77777777">
        <w:trPr>
          <w:trHeight w:val="642"/>
        </w:trPr>
        <w:tc>
          <w:tcPr>
            <w:tcW w:w="649" w:type="dxa"/>
            <w:vAlign w:val="center"/>
          </w:tcPr>
          <w:p w14:paraId="0BE43289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4</w:t>
            </w:r>
          </w:p>
        </w:tc>
        <w:tc>
          <w:tcPr>
            <w:tcW w:w="10403" w:type="dxa"/>
          </w:tcPr>
          <w:p w14:paraId="4C735E0D" w14:textId="77777777" w:rsidR="00A24A84" w:rsidRDefault="005F2C51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Presentar, revisar y emitir informe del contribuyente de la dependencia.</w:t>
            </w:r>
          </w:p>
        </w:tc>
        <w:tc>
          <w:tcPr>
            <w:tcW w:w="2268" w:type="dxa"/>
          </w:tcPr>
          <w:p w14:paraId="00EBFFFA" w14:textId="77777777" w:rsidR="00A24A84" w:rsidRDefault="00A24A84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  <w:p w14:paraId="78C7D8D5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Mercados o Transportes</w:t>
            </w:r>
          </w:p>
        </w:tc>
      </w:tr>
      <w:tr w:rsidR="00A24A84" w14:paraId="0DDCFB48" w14:textId="77777777">
        <w:trPr>
          <w:trHeight w:val="642"/>
        </w:trPr>
        <w:tc>
          <w:tcPr>
            <w:tcW w:w="649" w:type="dxa"/>
            <w:vAlign w:val="center"/>
          </w:tcPr>
          <w:p w14:paraId="2B559840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5</w:t>
            </w:r>
          </w:p>
        </w:tc>
        <w:tc>
          <w:tcPr>
            <w:tcW w:w="10403" w:type="dxa"/>
          </w:tcPr>
          <w:p w14:paraId="0DBE8966" w14:textId="77777777" w:rsidR="00A24A84" w:rsidRDefault="005F2C51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Informar por medio de la Resolución que sea aplicado en el Sistema de servicios GL.</w:t>
            </w:r>
          </w:p>
        </w:tc>
        <w:tc>
          <w:tcPr>
            <w:tcW w:w="2268" w:type="dxa"/>
          </w:tcPr>
          <w:p w14:paraId="61A9BFBB" w14:textId="77777777" w:rsidR="00A24A84" w:rsidRDefault="00A24A84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  <w:p w14:paraId="482D532F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Alcaldía</w:t>
            </w:r>
          </w:p>
        </w:tc>
      </w:tr>
      <w:tr w:rsidR="00A24A84" w14:paraId="3064394D" w14:textId="77777777">
        <w:trPr>
          <w:trHeight w:val="642"/>
        </w:trPr>
        <w:tc>
          <w:tcPr>
            <w:tcW w:w="649" w:type="dxa"/>
            <w:vAlign w:val="center"/>
          </w:tcPr>
          <w:p w14:paraId="71A0BE63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6</w:t>
            </w:r>
          </w:p>
        </w:tc>
        <w:tc>
          <w:tcPr>
            <w:tcW w:w="10403" w:type="dxa"/>
          </w:tcPr>
          <w:p w14:paraId="3EB4D5E0" w14:textId="77777777" w:rsidR="00A24A84" w:rsidRDefault="005F2C51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 xml:space="preserve">Registrar la operación y el contribuyente pueda iniciar a realizar sus pagos.                                                                       </w:t>
            </w:r>
          </w:p>
        </w:tc>
        <w:tc>
          <w:tcPr>
            <w:tcW w:w="2268" w:type="dxa"/>
          </w:tcPr>
          <w:p w14:paraId="3A7DBA3B" w14:textId="77777777" w:rsidR="00A24A84" w:rsidRDefault="00A24A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  <w:p w14:paraId="045E4AB2" w14:textId="77777777" w:rsidR="00A24A84" w:rsidRDefault="005F2C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Arbitrios</w:t>
            </w:r>
          </w:p>
        </w:tc>
      </w:tr>
    </w:tbl>
    <w:p w14:paraId="0FF70004" w14:textId="77777777" w:rsidR="00A24A84" w:rsidRDefault="00A24A84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11C8400B" w14:textId="77777777" w:rsidR="00A24A84" w:rsidRDefault="00A24A84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4A4DAE60" w14:textId="77777777" w:rsidR="00A24A84" w:rsidRDefault="00A24A84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2127848D" w14:textId="77777777" w:rsidR="00A24A84" w:rsidRDefault="00A24A84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0414C960" w14:textId="77777777" w:rsidR="00A24A84" w:rsidRDefault="00A24A84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2C7E2B89" w14:textId="77777777" w:rsidR="00A24A84" w:rsidRDefault="00A24A84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7F59016E" w14:textId="77777777" w:rsidR="00A24A84" w:rsidRDefault="005F2C51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Diagrama</w:t>
      </w:r>
    </w:p>
    <w:p w14:paraId="1498D0ED" w14:textId="77777777" w:rsidR="00A24A84" w:rsidRDefault="005F2C51">
      <w:pPr>
        <w:jc w:val="center"/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noProof/>
        </w:rPr>
        <w:drawing>
          <wp:inline distT="0" distB="0" distL="0" distR="0" wp14:anchorId="37A7F4EB" wp14:editId="416BBF67">
            <wp:extent cx="6268005" cy="4138025"/>
            <wp:effectExtent l="0" t="0" r="0" b="0"/>
            <wp:docPr id="1906573783" name="image2.png" descr="A diagram of a process&#10;&#10;AI-generated content may be incorrect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 descr="A diagram of a process&#10;&#10;AI-generated content may be incorrect."/>
                    <pic:cNvPicPr preferRelativeResize="0"/>
                  </pic:nvPicPr>
                  <pic:blipFill>
                    <a:blip r:embed="rId9"/>
                    <a:srcRect l="2151" t="2049" r="1765" b="15540"/>
                    <a:stretch>
                      <a:fillRect/>
                    </a:stretch>
                  </pic:blipFill>
                  <pic:spPr>
                    <a:xfrm>
                      <a:off x="0" y="0"/>
                      <a:ext cx="6268005" cy="41380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593C03B" w14:textId="77777777" w:rsidR="00A24A84" w:rsidRDefault="005F2C51">
      <w:pPr>
        <w:jc w:val="center"/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Narrativa II Convenios de Pago</w:t>
      </w:r>
    </w:p>
    <w:tbl>
      <w:tblPr>
        <w:tblStyle w:val="a5"/>
        <w:tblW w:w="1331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170"/>
        <w:gridCol w:w="9593"/>
        <w:gridCol w:w="2552"/>
      </w:tblGrid>
      <w:tr w:rsidR="00A24A84" w14:paraId="5D93F08C" w14:textId="77777777">
        <w:trPr>
          <w:trHeight w:val="371"/>
        </w:trPr>
        <w:tc>
          <w:tcPr>
            <w:tcW w:w="1170" w:type="dxa"/>
            <w:shd w:val="clear" w:color="auto" w:fill="92D05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4270BF" w14:textId="77777777" w:rsidR="00A24A84" w:rsidRDefault="005F2C51">
            <w:pPr>
              <w:spacing w:after="0" w:line="240" w:lineRule="auto"/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No.</w:t>
            </w:r>
          </w:p>
        </w:tc>
        <w:tc>
          <w:tcPr>
            <w:tcW w:w="9593" w:type="dxa"/>
            <w:shd w:val="clear" w:color="auto" w:fill="92D05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EC3D02" w14:textId="77777777" w:rsidR="00A24A84" w:rsidRDefault="005F2C51">
            <w:pPr>
              <w:spacing w:after="0" w:line="240" w:lineRule="auto"/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Actividad</w:t>
            </w:r>
          </w:p>
        </w:tc>
        <w:tc>
          <w:tcPr>
            <w:tcW w:w="2552" w:type="dxa"/>
            <w:shd w:val="clear" w:color="auto" w:fill="92D05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ED459A" w14:textId="77777777" w:rsidR="00A24A84" w:rsidRDefault="005F2C51">
            <w:pPr>
              <w:spacing w:after="0" w:line="240" w:lineRule="auto"/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Responsable</w:t>
            </w:r>
          </w:p>
        </w:tc>
      </w:tr>
      <w:tr w:rsidR="00A24A84" w14:paraId="3F509C87" w14:textId="77777777">
        <w:trPr>
          <w:trHeight w:val="400"/>
        </w:trPr>
        <w:tc>
          <w:tcPr>
            <w:tcW w:w="117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800F44" w14:textId="77777777" w:rsidR="00A24A84" w:rsidRDefault="005F2C51">
            <w:pPr>
              <w:spacing w:after="0" w:line="240" w:lineRule="auto"/>
              <w:jc w:val="center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>
              <w:rPr>
                <w:rFonts w:ascii="Century Gothic" w:eastAsia="Century Gothic" w:hAnsi="Century Gothic" w:cs="Century Gothic"/>
                <w:sz w:val="20"/>
                <w:szCs w:val="20"/>
              </w:rPr>
              <w:t>1</w:t>
            </w:r>
          </w:p>
        </w:tc>
        <w:tc>
          <w:tcPr>
            <w:tcW w:w="959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D66677" w14:textId="77777777" w:rsidR="00A24A84" w:rsidRDefault="005F2C51">
            <w:pPr>
              <w:spacing w:after="0" w:line="240" w:lineRule="auto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>
              <w:rPr>
                <w:rFonts w:ascii="Century Gothic" w:eastAsia="Century Gothic" w:hAnsi="Century Gothic" w:cs="Century Gothic"/>
                <w:sz w:val="20"/>
                <w:szCs w:val="20"/>
              </w:rPr>
              <w:t xml:space="preserve">Solicitar información del monto total de la deuda, se verifica en los registros y se le entrega los requisitos para el trámite respectivo.              </w:t>
            </w:r>
          </w:p>
        </w:tc>
        <w:tc>
          <w:tcPr>
            <w:tcW w:w="2552" w:type="dxa"/>
            <w:vMerge w:val="restart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25B700" w14:textId="77777777" w:rsidR="00A24A84" w:rsidRDefault="00A24A84">
            <w:pPr>
              <w:spacing w:after="0" w:line="240" w:lineRule="auto"/>
              <w:jc w:val="center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</w:p>
          <w:p w14:paraId="3BEA57B0" w14:textId="77777777" w:rsidR="00A24A84" w:rsidRDefault="00A24A84">
            <w:pPr>
              <w:spacing w:after="0" w:line="240" w:lineRule="auto"/>
              <w:jc w:val="center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</w:p>
          <w:p w14:paraId="2832C8DD" w14:textId="77777777" w:rsidR="00A24A84" w:rsidRDefault="005F2C51">
            <w:pPr>
              <w:spacing w:after="0" w:line="240" w:lineRule="auto"/>
              <w:jc w:val="center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>
              <w:rPr>
                <w:rFonts w:ascii="Century Gothic" w:eastAsia="Century Gothic" w:hAnsi="Century Gothic" w:cs="Century Gothic"/>
                <w:sz w:val="20"/>
                <w:szCs w:val="20"/>
              </w:rPr>
              <w:t>Arbitrios</w:t>
            </w:r>
          </w:p>
        </w:tc>
      </w:tr>
      <w:tr w:rsidR="00A24A84" w14:paraId="176B871D" w14:textId="77777777">
        <w:trPr>
          <w:trHeight w:val="400"/>
        </w:trPr>
        <w:tc>
          <w:tcPr>
            <w:tcW w:w="117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91C382" w14:textId="77777777" w:rsidR="00A24A84" w:rsidRDefault="005F2C51">
            <w:pPr>
              <w:spacing w:after="0" w:line="240" w:lineRule="auto"/>
              <w:jc w:val="center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>
              <w:rPr>
                <w:rFonts w:ascii="Century Gothic" w:eastAsia="Century Gothic" w:hAnsi="Century Gothic" w:cs="Century Gothic"/>
                <w:sz w:val="20"/>
                <w:szCs w:val="20"/>
              </w:rPr>
              <w:t>2</w:t>
            </w:r>
          </w:p>
        </w:tc>
        <w:tc>
          <w:tcPr>
            <w:tcW w:w="959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060B3E" w14:textId="77777777" w:rsidR="00A24A84" w:rsidRDefault="005F2C51">
            <w:pPr>
              <w:spacing w:after="0" w:line="240" w:lineRule="auto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>
              <w:rPr>
                <w:rFonts w:ascii="Century Gothic" w:eastAsia="Century Gothic" w:hAnsi="Century Gothic" w:cs="Century Gothic"/>
                <w:sz w:val="20"/>
                <w:szCs w:val="20"/>
              </w:rPr>
              <w:t>Revisar los expedientes, pagos, servicios prestados y demás documentos de respaldo que justifiquen la creación de una deuda adicional.</w:t>
            </w:r>
          </w:p>
        </w:tc>
        <w:tc>
          <w:tcPr>
            <w:tcW w:w="2552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EA527D" w14:textId="77777777" w:rsidR="00A24A84" w:rsidRDefault="00A24A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</w:p>
        </w:tc>
      </w:tr>
      <w:tr w:rsidR="00A24A84" w14:paraId="43DBB288" w14:textId="77777777">
        <w:tc>
          <w:tcPr>
            <w:tcW w:w="117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2B2733" w14:textId="77777777" w:rsidR="00A24A84" w:rsidRDefault="005F2C51">
            <w:pPr>
              <w:spacing w:after="0" w:line="240" w:lineRule="auto"/>
              <w:jc w:val="center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>
              <w:rPr>
                <w:rFonts w:ascii="Century Gothic" w:eastAsia="Century Gothic" w:hAnsi="Century Gothic" w:cs="Century Gothic"/>
                <w:sz w:val="20"/>
                <w:szCs w:val="20"/>
              </w:rPr>
              <w:t>3</w:t>
            </w:r>
          </w:p>
        </w:tc>
        <w:tc>
          <w:tcPr>
            <w:tcW w:w="959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8B83D3" w14:textId="77777777" w:rsidR="00A24A84" w:rsidRDefault="005F2C51">
            <w:pPr>
              <w:spacing w:after="0" w:line="240" w:lineRule="auto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>
              <w:rPr>
                <w:rFonts w:ascii="Century Gothic" w:eastAsia="Century Gothic" w:hAnsi="Century Gothic" w:cs="Century Gothic"/>
                <w:sz w:val="20"/>
                <w:szCs w:val="20"/>
              </w:rPr>
              <w:t>Informar por medio de la Resolución que sea aplicado el convenio de pago.</w:t>
            </w:r>
          </w:p>
        </w:tc>
        <w:tc>
          <w:tcPr>
            <w:tcW w:w="2552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4D2D9C" w14:textId="77777777" w:rsidR="00A24A84" w:rsidRDefault="005F2C51">
            <w:pPr>
              <w:spacing w:after="0" w:line="240" w:lineRule="auto"/>
              <w:jc w:val="center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>
              <w:rPr>
                <w:rFonts w:ascii="Century Gothic" w:eastAsia="Century Gothic" w:hAnsi="Century Gothic" w:cs="Century Gothic"/>
                <w:sz w:val="20"/>
                <w:szCs w:val="20"/>
              </w:rPr>
              <w:t>Alcaldía</w:t>
            </w:r>
          </w:p>
        </w:tc>
      </w:tr>
      <w:tr w:rsidR="00A24A84" w14:paraId="143A0C9E" w14:textId="77777777">
        <w:tc>
          <w:tcPr>
            <w:tcW w:w="117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5CE4CB" w14:textId="77777777" w:rsidR="00A24A84" w:rsidRDefault="005F2C51">
            <w:pPr>
              <w:spacing w:after="0" w:line="240" w:lineRule="auto"/>
              <w:jc w:val="center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>
              <w:rPr>
                <w:rFonts w:ascii="Century Gothic" w:eastAsia="Century Gothic" w:hAnsi="Century Gothic" w:cs="Century Gothic"/>
                <w:sz w:val="20"/>
                <w:szCs w:val="20"/>
              </w:rPr>
              <w:t>4</w:t>
            </w:r>
          </w:p>
        </w:tc>
        <w:tc>
          <w:tcPr>
            <w:tcW w:w="959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C23456" w14:textId="77777777" w:rsidR="00A24A84" w:rsidRDefault="005F2C51">
            <w:pPr>
              <w:spacing w:after="0" w:line="240" w:lineRule="auto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>
              <w:rPr>
                <w:rFonts w:ascii="Century Gothic" w:eastAsia="Century Gothic" w:hAnsi="Century Gothic" w:cs="Century Gothic"/>
                <w:sz w:val="20"/>
                <w:szCs w:val="20"/>
              </w:rPr>
              <w:t>Registrar la nota de débito en el sistema, indicando el motivo, monto y período al que corresponde el ajuste.</w:t>
            </w:r>
          </w:p>
        </w:tc>
        <w:tc>
          <w:tcPr>
            <w:tcW w:w="2552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5E92FF" w14:textId="77777777" w:rsidR="00A24A84" w:rsidRDefault="005F2C51">
            <w:pPr>
              <w:spacing w:after="0" w:line="240" w:lineRule="auto"/>
              <w:jc w:val="center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>
              <w:rPr>
                <w:rFonts w:ascii="Century Gothic" w:eastAsia="Century Gothic" w:hAnsi="Century Gothic" w:cs="Century Gothic"/>
                <w:sz w:val="20"/>
                <w:szCs w:val="20"/>
              </w:rPr>
              <w:t>Arbitrios</w:t>
            </w:r>
          </w:p>
        </w:tc>
      </w:tr>
      <w:tr w:rsidR="00A24A84" w14:paraId="366F5F09" w14:textId="77777777">
        <w:tc>
          <w:tcPr>
            <w:tcW w:w="117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02C3EC" w14:textId="77777777" w:rsidR="00A24A84" w:rsidRDefault="005F2C51">
            <w:pPr>
              <w:spacing w:after="0" w:line="240" w:lineRule="auto"/>
              <w:jc w:val="center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>
              <w:rPr>
                <w:rFonts w:ascii="Century Gothic" w:eastAsia="Century Gothic" w:hAnsi="Century Gothic" w:cs="Century Gothic"/>
                <w:sz w:val="20"/>
                <w:szCs w:val="20"/>
              </w:rPr>
              <w:t>5</w:t>
            </w:r>
          </w:p>
        </w:tc>
        <w:tc>
          <w:tcPr>
            <w:tcW w:w="959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22E2E5" w14:textId="77777777" w:rsidR="00A24A84" w:rsidRDefault="005F2C51">
            <w:pPr>
              <w:spacing w:after="0" w:line="240" w:lineRule="auto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>
              <w:rPr>
                <w:rFonts w:ascii="Century Gothic" w:eastAsia="Century Gothic" w:hAnsi="Century Gothic" w:cs="Century Gothic"/>
                <w:sz w:val="20"/>
                <w:szCs w:val="20"/>
              </w:rPr>
              <w:t>Comunicar oficialmente al contribuyente sobre el nuevo cargo generado y se adjunta copia de la nota de débito.</w:t>
            </w:r>
          </w:p>
        </w:tc>
        <w:tc>
          <w:tcPr>
            <w:tcW w:w="2552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671A79" w14:textId="77777777" w:rsidR="00A24A84" w:rsidRDefault="005F2C51">
            <w:pPr>
              <w:spacing w:after="0" w:line="240" w:lineRule="auto"/>
              <w:jc w:val="center"/>
              <w:rPr>
                <w:rFonts w:ascii="Century Gothic" w:eastAsia="Century Gothic" w:hAnsi="Century Gothic" w:cs="Century Gothic"/>
                <w:sz w:val="20"/>
                <w:szCs w:val="20"/>
              </w:rPr>
            </w:pPr>
            <w:r>
              <w:rPr>
                <w:rFonts w:ascii="Century Gothic" w:eastAsia="Century Gothic" w:hAnsi="Century Gothic" w:cs="Century Gothic"/>
                <w:sz w:val="20"/>
                <w:szCs w:val="20"/>
              </w:rPr>
              <w:t>Mercados o Transportes</w:t>
            </w:r>
          </w:p>
        </w:tc>
      </w:tr>
    </w:tbl>
    <w:p w14:paraId="699DB642" w14:textId="77777777" w:rsidR="00A24A84" w:rsidRDefault="00A24A84">
      <w:pPr>
        <w:spacing w:after="0" w:line="240" w:lineRule="auto"/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6265E195" w14:textId="77777777" w:rsidR="00A24A84" w:rsidRDefault="00A24A84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798C08A3" w14:textId="77777777" w:rsidR="00A24A84" w:rsidRDefault="00A24A84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0C344A8E" w14:textId="77777777" w:rsidR="00A24A84" w:rsidRDefault="00A24A84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4D1CEE72" w14:textId="77777777" w:rsidR="00A24A84" w:rsidRDefault="00A24A84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69F4627A" w14:textId="77777777" w:rsidR="00A24A84" w:rsidRDefault="00A24A84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5F72E512" w14:textId="77777777" w:rsidR="00A24A84" w:rsidRDefault="00A24A84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55CABBF4" w14:textId="77777777" w:rsidR="00A24A84" w:rsidRDefault="00A24A84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5D99665E" w14:textId="77777777" w:rsidR="00A24A84" w:rsidRDefault="005F2C51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Diagrama</w:t>
      </w:r>
    </w:p>
    <w:p w14:paraId="60F8FF1C" w14:textId="77777777" w:rsidR="00A24A84" w:rsidRDefault="005F2C51">
      <w:pPr>
        <w:jc w:val="center"/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noProof/>
        </w:rPr>
        <w:drawing>
          <wp:inline distT="0" distB="0" distL="0" distR="0" wp14:anchorId="5D9A98B3" wp14:editId="0EE0F368">
            <wp:extent cx="7112877" cy="4160169"/>
            <wp:effectExtent l="0" t="0" r="0" b="0"/>
            <wp:docPr id="1906573782" name="image1.png" descr="A diagram of a diagram&#10;&#10;AI-generated content may be incorrect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A diagram of a diagram&#10;&#10;AI-generated content may be incorrect."/>
                    <pic:cNvPicPr preferRelativeResize="0"/>
                  </pic:nvPicPr>
                  <pic:blipFill>
                    <a:blip r:embed="rId10"/>
                    <a:srcRect l="2066" t="2044" b="19030"/>
                    <a:stretch>
                      <a:fillRect/>
                    </a:stretch>
                  </pic:blipFill>
                  <pic:spPr>
                    <a:xfrm>
                      <a:off x="0" y="0"/>
                      <a:ext cx="7112877" cy="416016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B5FC2A4" w14:textId="77777777" w:rsidR="00A24A84" w:rsidRDefault="00A24A84">
      <w:pPr>
        <w:jc w:val="center"/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33BAF5E1" w14:textId="77777777" w:rsidR="00A24A84" w:rsidRDefault="005F2C51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bookmarkStart w:id="0" w:name="_heading=h.4508e8omwgys" w:colFirst="0" w:colLast="0"/>
      <w:bookmarkEnd w:id="0"/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Tabla de Anexos</w:t>
      </w:r>
    </w:p>
    <w:tbl>
      <w:tblPr>
        <w:tblStyle w:val="a6"/>
        <w:tblW w:w="135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74"/>
        <w:gridCol w:w="11891"/>
      </w:tblGrid>
      <w:tr w:rsidR="00A24A84" w14:paraId="1B58CFD4" w14:textId="77777777">
        <w:trPr>
          <w:trHeight w:val="470"/>
        </w:trPr>
        <w:tc>
          <w:tcPr>
            <w:tcW w:w="1674" w:type="dxa"/>
          </w:tcPr>
          <w:p w14:paraId="26778C96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</w:pPr>
            <w:r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  <w:t>No.</w:t>
            </w:r>
          </w:p>
        </w:tc>
        <w:tc>
          <w:tcPr>
            <w:tcW w:w="11891" w:type="dxa"/>
          </w:tcPr>
          <w:p w14:paraId="535913C8" w14:textId="77777777" w:rsidR="00A24A84" w:rsidRDefault="005F2C51">
            <w:pPr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</w:pPr>
            <w:r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  <w:t>Anexo</w:t>
            </w:r>
          </w:p>
        </w:tc>
      </w:tr>
      <w:tr w:rsidR="00A24A84" w14:paraId="5E566F81" w14:textId="77777777">
        <w:trPr>
          <w:trHeight w:val="399"/>
        </w:trPr>
        <w:tc>
          <w:tcPr>
            <w:tcW w:w="1674" w:type="dxa"/>
          </w:tcPr>
          <w:p w14:paraId="3929A845" w14:textId="77777777" w:rsidR="00A24A84" w:rsidRDefault="00A24A84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</w:tc>
        <w:tc>
          <w:tcPr>
            <w:tcW w:w="11891" w:type="dxa"/>
          </w:tcPr>
          <w:p w14:paraId="0E293802" w14:textId="77777777" w:rsidR="00A24A84" w:rsidRDefault="005F2C51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No aplica</w:t>
            </w:r>
          </w:p>
        </w:tc>
      </w:tr>
    </w:tbl>
    <w:p w14:paraId="35008C58" w14:textId="77777777" w:rsidR="00A24A84" w:rsidRDefault="00A24A84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114D5B2" w14:textId="77777777" w:rsidR="00A24A84" w:rsidRDefault="00A24A84">
      <w:pPr>
        <w:jc w:val="center"/>
        <w:rPr>
          <w:rFonts w:ascii="Century Gothic" w:eastAsia="Century Gothic" w:hAnsi="Century Gothic" w:cs="Century Gothic"/>
          <w:b/>
          <w:sz w:val="20"/>
          <w:szCs w:val="20"/>
        </w:rPr>
      </w:pPr>
    </w:p>
    <w:sectPr w:rsidR="00A24A84">
      <w:headerReference w:type="default" r:id="rId11"/>
      <w:footerReference w:type="default" r:id="rId12"/>
      <w:footerReference w:type="first" r:id="rId13"/>
      <w:pgSz w:w="15840" w:h="12240" w:orient="landscape"/>
      <w:pgMar w:top="1440" w:right="1239" w:bottom="1440" w:left="851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ECD5FE3" w14:textId="77777777" w:rsidR="005F2C51" w:rsidRDefault="005F2C51">
      <w:pPr>
        <w:spacing w:after="0" w:line="240" w:lineRule="auto"/>
      </w:pPr>
      <w:r>
        <w:separator/>
      </w:r>
    </w:p>
  </w:endnote>
  <w:endnote w:type="continuationSeparator" w:id="0">
    <w:p w14:paraId="742A28F8" w14:textId="77777777" w:rsidR="005F2C51" w:rsidRDefault="005F2C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5C5C2C08-3C23-4993-AB71-0FF536002A44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A944ACE5-DDA3-4D5B-9C3B-2F3F098FEC1B}"/>
    <w:embedBold r:id="rId3" w:fontKey="{A25BE07C-88BB-4CD2-BAC4-F662C5CC6374}"/>
    <w:embedItalic r:id="rId4" w:fontKey="{BF23B124-8CCF-46F2-82BA-9182E1E8D6F8}"/>
  </w:font>
  <w:font w:name="Play">
    <w:charset w:val="00"/>
    <w:family w:val="auto"/>
    <w:pitch w:val="default"/>
    <w:embedRegular r:id="rId5" w:fontKey="{163D57D9-FE09-47D8-9CFF-38E24415C012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6" w:fontKey="{A3AC89C9-5BEA-4338-8590-4E36CA85D171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7" w:fontKey="{DFCC82B0-CEDC-4412-8BD8-166F141567AC}"/>
    <w:embedBold r:id="rId8" w:fontKey="{C9F9A82A-7517-4F13-82C7-D117B5936FEE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9" w:fontKey="{9FD27F7E-16BE-4AA6-9D74-8BAD8B193976}"/>
    <w:embedBold r:id="rId10" w:fontKey="{DCE496B5-5528-4B38-A14D-AE47EB83440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2D4BBD" w14:textId="1600FB37" w:rsidR="00A24A84" w:rsidRDefault="005F2C51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tab/>
    </w: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3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1EBF3DDF" w14:textId="77777777" w:rsidR="00A24A84" w:rsidRDefault="00A24A8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  <w:p w14:paraId="29B54DEF" w14:textId="77777777" w:rsidR="00A24A84" w:rsidRDefault="00A24A8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  <w:tab w:val="left" w:pos="11695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4E01EA" w14:textId="77777777" w:rsidR="00A24A84" w:rsidRDefault="005F2C51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68AC36E9" w14:textId="77777777" w:rsidR="00A24A84" w:rsidRDefault="00A24A8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5E63F8" w14:textId="77777777" w:rsidR="005F2C51" w:rsidRDefault="005F2C51">
      <w:pPr>
        <w:spacing w:after="0" w:line="240" w:lineRule="auto"/>
      </w:pPr>
      <w:r>
        <w:separator/>
      </w:r>
    </w:p>
  </w:footnote>
  <w:footnote w:type="continuationSeparator" w:id="0">
    <w:p w14:paraId="22A7AF87" w14:textId="77777777" w:rsidR="005F2C51" w:rsidRDefault="005F2C5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662B04" w14:textId="77777777" w:rsidR="00A24A84" w:rsidRDefault="00A24A84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rFonts w:ascii="Century Gothic" w:eastAsia="Century Gothic" w:hAnsi="Century Gothic" w:cs="Century Gothic"/>
        <w:b/>
        <w:sz w:val="20"/>
        <w:szCs w:val="20"/>
      </w:rPr>
    </w:pPr>
  </w:p>
  <w:tbl>
    <w:tblPr>
      <w:tblStyle w:val="a7"/>
      <w:tblW w:w="13591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3220"/>
      <w:gridCol w:w="6698"/>
      <w:gridCol w:w="3673"/>
    </w:tblGrid>
    <w:tr w:rsidR="00A24A84" w14:paraId="1AA2232C" w14:textId="77777777">
      <w:trPr>
        <w:trHeight w:val="424"/>
      </w:trPr>
      <w:tc>
        <w:tcPr>
          <w:tcW w:w="3220" w:type="dxa"/>
          <w:vMerge w:val="restart"/>
        </w:tcPr>
        <w:p w14:paraId="458D0122" w14:textId="77777777" w:rsidR="00A24A84" w:rsidRDefault="005F2C51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74285D03" wp14:editId="4B852477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1906573780" name="image4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6698" w:type="dxa"/>
          <w:vMerge w:val="restart"/>
          <w:vAlign w:val="center"/>
        </w:tcPr>
        <w:p w14:paraId="4D715688" w14:textId="77777777" w:rsidR="00A24A84" w:rsidRDefault="00A24A84">
          <w:pPr>
            <w:jc w:val="center"/>
            <w:rPr>
              <w:rFonts w:ascii="Century Gothic" w:eastAsia="Century Gothic" w:hAnsi="Century Gothic" w:cs="Century Gothic"/>
              <w:b/>
              <w:sz w:val="28"/>
              <w:szCs w:val="28"/>
            </w:rPr>
          </w:pPr>
        </w:p>
        <w:p w14:paraId="10118FCD" w14:textId="77777777" w:rsidR="00A24A84" w:rsidRDefault="005F2C51">
          <w:pPr>
            <w:jc w:val="center"/>
            <w:rPr>
              <w:rFonts w:ascii="Century Gothic" w:eastAsia="Century Gothic" w:hAnsi="Century Gothic" w:cs="Century Gothic"/>
              <w:sz w:val="28"/>
              <w:szCs w:val="28"/>
            </w:rPr>
          </w:pPr>
          <w:r>
            <w:rPr>
              <w:rFonts w:ascii="Century Gothic" w:eastAsia="Century Gothic" w:hAnsi="Century Gothic" w:cs="Century Gothic"/>
              <w:sz w:val="28"/>
              <w:szCs w:val="28"/>
            </w:rPr>
            <w:t xml:space="preserve">Procedimiento Notas de Débito, Crédito </w:t>
          </w:r>
        </w:p>
        <w:p w14:paraId="0CC670A3" w14:textId="77777777" w:rsidR="00A24A84" w:rsidRDefault="005F2C51">
          <w:pPr>
            <w:jc w:val="center"/>
            <w:rPr>
              <w:rFonts w:ascii="Century Gothic" w:eastAsia="Century Gothic" w:hAnsi="Century Gothic" w:cs="Century Gothic"/>
              <w:sz w:val="28"/>
              <w:szCs w:val="28"/>
            </w:rPr>
          </w:pPr>
          <w:r>
            <w:rPr>
              <w:rFonts w:ascii="Century Gothic" w:eastAsia="Century Gothic" w:hAnsi="Century Gothic" w:cs="Century Gothic"/>
              <w:sz w:val="28"/>
              <w:szCs w:val="28"/>
            </w:rPr>
            <w:t xml:space="preserve"> y Convenios de Pago </w:t>
          </w:r>
        </w:p>
        <w:p w14:paraId="33DBC36E" w14:textId="77777777" w:rsidR="00A24A84" w:rsidRDefault="00A24A84">
          <w:pPr>
            <w:jc w:val="center"/>
            <w:rPr>
              <w:rFonts w:ascii="Georgia" w:eastAsia="Georgia" w:hAnsi="Georgia" w:cs="Georgia"/>
              <w:b/>
              <w:sz w:val="28"/>
              <w:szCs w:val="28"/>
            </w:rPr>
          </w:pPr>
        </w:p>
        <w:p w14:paraId="10E51EDE" w14:textId="77777777" w:rsidR="00A24A84" w:rsidRDefault="00A24A8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</w:p>
      </w:tc>
      <w:tc>
        <w:tcPr>
          <w:tcW w:w="3673" w:type="dxa"/>
          <w:vAlign w:val="center"/>
        </w:tcPr>
        <w:p w14:paraId="40DDDE33" w14:textId="77777777" w:rsidR="00A24A84" w:rsidRDefault="005F2C51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Identificación:</w:t>
          </w:r>
        </w:p>
      </w:tc>
    </w:tr>
    <w:tr w:rsidR="00A24A84" w14:paraId="3C085B89" w14:textId="77777777">
      <w:trPr>
        <w:trHeight w:val="423"/>
      </w:trPr>
      <w:tc>
        <w:tcPr>
          <w:tcW w:w="3220" w:type="dxa"/>
          <w:vMerge/>
        </w:tcPr>
        <w:p w14:paraId="592BFDE3" w14:textId="77777777" w:rsidR="00A24A84" w:rsidRDefault="00A24A84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6698" w:type="dxa"/>
          <w:vMerge/>
          <w:vAlign w:val="center"/>
        </w:tcPr>
        <w:p w14:paraId="07B7E26F" w14:textId="77777777" w:rsidR="00A24A84" w:rsidRDefault="00A24A84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673" w:type="dxa"/>
          <w:vAlign w:val="center"/>
        </w:tcPr>
        <w:p w14:paraId="34765E31" w14:textId="77777777" w:rsidR="00A24A84" w:rsidRDefault="005F2C51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t>PR-MSL-DAFIM-DT-UA-NDCCP-08</w:t>
          </w:r>
        </w:p>
      </w:tc>
    </w:tr>
    <w:tr w:rsidR="00A24A84" w14:paraId="7D9296C6" w14:textId="77777777">
      <w:trPr>
        <w:trHeight w:val="424"/>
      </w:trPr>
      <w:tc>
        <w:tcPr>
          <w:tcW w:w="3220" w:type="dxa"/>
          <w:vMerge/>
        </w:tcPr>
        <w:p w14:paraId="27AC7987" w14:textId="77777777" w:rsidR="00A24A84" w:rsidRDefault="00A24A84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6698" w:type="dxa"/>
          <w:vMerge/>
          <w:vAlign w:val="center"/>
        </w:tcPr>
        <w:p w14:paraId="1EBEF2F5" w14:textId="77777777" w:rsidR="00A24A84" w:rsidRDefault="00A24A84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673" w:type="dxa"/>
          <w:vAlign w:val="center"/>
        </w:tcPr>
        <w:p w14:paraId="1E7B5C59" w14:textId="77777777" w:rsidR="00A24A84" w:rsidRDefault="005F2C51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Versión</w:t>
          </w:r>
        </w:p>
      </w:tc>
    </w:tr>
    <w:tr w:rsidR="00A24A84" w14:paraId="5CAEA3B4" w14:textId="77777777">
      <w:trPr>
        <w:trHeight w:val="423"/>
      </w:trPr>
      <w:tc>
        <w:tcPr>
          <w:tcW w:w="3220" w:type="dxa"/>
          <w:vMerge/>
        </w:tcPr>
        <w:p w14:paraId="7BAF1EF7" w14:textId="77777777" w:rsidR="00A24A84" w:rsidRDefault="00A24A84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6698" w:type="dxa"/>
          <w:vMerge/>
          <w:vAlign w:val="center"/>
        </w:tcPr>
        <w:p w14:paraId="0843DF72" w14:textId="77777777" w:rsidR="00A24A84" w:rsidRDefault="00A24A84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673" w:type="dxa"/>
          <w:vAlign w:val="center"/>
        </w:tcPr>
        <w:p w14:paraId="2EDFD9AE" w14:textId="77777777" w:rsidR="00A24A84" w:rsidRDefault="005F2C51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1</w:t>
          </w:r>
        </w:p>
      </w:tc>
    </w:tr>
  </w:tbl>
  <w:p w14:paraId="32CB12C6" w14:textId="77777777" w:rsidR="00A24A84" w:rsidRDefault="00A24A8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787003"/>
    <w:multiLevelType w:val="multilevel"/>
    <w:tmpl w:val="F4A86C9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37A02703"/>
    <w:multiLevelType w:val="multilevel"/>
    <w:tmpl w:val="90F8239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5AA82450"/>
    <w:multiLevelType w:val="multilevel"/>
    <w:tmpl w:val="AE5EF0B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6C607474"/>
    <w:multiLevelType w:val="multilevel"/>
    <w:tmpl w:val="BA6090B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963578225">
    <w:abstractNumId w:val="2"/>
  </w:num>
  <w:num w:numId="2" w16cid:durableId="415320387">
    <w:abstractNumId w:val="1"/>
  </w:num>
  <w:num w:numId="3" w16cid:durableId="1497066286">
    <w:abstractNumId w:val="3"/>
  </w:num>
  <w:num w:numId="4" w16cid:durableId="146762056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embedTrueTypeFonts/>
  <w:proofState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24A84"/>
    <w:rsid w:val="005F2C51"/>
    <w:rsid w:val="007132A0"/>
    <w:rsid w:val="00A24A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6749966"/>
  <w15:docId w15:val="{EBDB4979-8111-4E34-8215-DBB14D86FA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es-GT" w:eastAsia="es-G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character" w:styleId="Textoennegrita">
    <w:name w:val="Strong"/>
    <w:basedOn w:val="Fuentedeprrafopredeter"/>
    <w:uiPriority w:val="22"/>
    <w:qFormat/>
    <w:rsid w:val="0028525D"/>
    <w:rPr>
      <w:b/>
      <w:bCs/>
    </w:rPr>
  </w:style>
  <w:style w:type="character" w:styleId="Refdecomentario">
    <w:name w:val="annotation reference"/>
    <w:basedOn w:val="Fuentedeprrafopredeter"/>
    <w:uiPriority w:val="99"/>
    <w:semiHidden/>
    <w:unhideWhenUsed/>
    <w:rsid w:val="00D61868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D61868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D61868"/>
    <w:rPr>
      <w:sz w:val="20"/>
      <w:szCs w:val="20"/>
      <w:lang w:val="es-GT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D61868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D61868"/>
    <w:rPr>
      <w:b/>
      <w:bCs/>
      <w:sz w:val="20"/>
      <w:szCs w:val="20"/>
      <w:lang w:val="es-GT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Subttulo">
    <w:name w:val="Subtitle"/>
    <w:basedOn w:val="Normal"/>
    <w:next w:val="Normal"/>
    <w:link w:val="SubttuloCar"/>
    <w:uiPriority w:val="11"/>
    <w:qFormat/>
    <w:rPr>
      <w:color w:val="595959"/>
      <w:sz w:val="28"/>
      <w:szCs w:val="28"/>
    </w:rPr>
  </w:style>
  <w:style w:type="table" w:customStyle="1" w:styleId="a3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4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5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7">
    <w:basedOn w:val="Tabla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6kDCJWLYatgFTr8+UoFs/cIkbpg==">CgMxLjAyDmguNDUwOGU4b213Z3lzOAByITFfOWNDRFlvd0dqa3YtWjUyZjBYS3NQYWFMVlZwd3ozdA==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658</Words>
  <Characters>3620</Characters>
  <Application>Microsoft Office Word</Application>
  <DocSecurity>0</DocSecurity>
  <Lines>30</Lines>
  <Paragraphs>8</Paragraphs>
  <ScaleCrop>false</ScaleCrop>
  <Company/>
  <LinksUpToDate>false</LinksUpToDate>
  <CharactersWithSpaces>4270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William Fernando Cambara Cortez</dc:creator>
  <cp:lastModifiedBy>Edenylson Rosales Saravia</cp:lastModifiedBy>
  <cp:revision>2</cp:revision>
  <dcterms:created xsi:type="dcterms:W3CDTF">2025-07-23T17:11:00Z</dcterms:created>
  <dcterms:modified xsi:type="dcterms:W3CDTF">2025-09-01T23:18:00Z</dcterms:modified>
</cp:coreProperties>
</file>